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11BFB564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на территории муниципального образования Северский район за 2022 год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7379BA35" w:rsidR="003B0E47" w:rsidRPr="00D6138B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1E767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января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836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(далее – субъекты МСП), что составляет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1E767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0.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аналогичному показателю 2021 года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МСП),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рост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 </w:t>
      </w:r>
      <w:r w:rsidR="001E767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0,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p w14:paraId="3679D4F2" w14:textId="6B081F16" w:rsidR="003B0E47" w:rsidRPr="00D6138B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нашему району наемных</w:t>
      </w:r>
      <w:r w:rsidR="00E3703C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работников, на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 декабря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2022 года составила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23, 7%.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3B0E47"/>
    <w:rsid w:val="007B4A79"/>
    <w:rsid w:val="008041C3"/>
    <w:rsid w:val="00943019"/>
    <w:rsid w:val="00AF15D1"/>
    <w:rsid w:val="00B7057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7</cp:revision>
  <dcterms:created xsi:type="dcterms:W3CDTF">2022-12-21T12:46:00Z</dcterms:created>
  <dcterms:modified xsi:type="dcterms:W3CDTF">2023-03-01T08:50:00Z</dcterms:modified>
</cp:coreProperties>
</file>